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6"/>
    <w:p>
      <w:pPr>
        <w:pStyle w:val="Heading1"/>
      </w:pPr>
      <w:r>
        <w:t xml:space="preserve">Homiletics Analysis: 1 Corinthians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16 serves as the closing chapter of Paul’s extended letter addressing the disorders, divisions, and doctrinal confusions of the Corinthian church. The chapter opens with practical instructions for the collection for the saints in Jerusalem (vv. 1–4), establishing a pattern of systematic, proportionate, cheerful giving that mirrors what Paul has given the Galatian churches. Paul then outlines his travel plans — his intended route through Macedonia, his hoped-for extended stay with the Corinthians, and his current position in Ephesus where a great door of ministry has opened despite fierce opposition (vv. 5–9). He commends Timothy and urges the Corinthians to receive him without fear or contempt, noting that Timothy is doing the Lord’s work just as Paul is (vv. 10–11). He explains that Apollos, though urged, has chosen not to come to Corinth at this time (v. 12). The chapter then delivers a compact but remarkably dense block of imperatives —</w:t>
      </w:r>
      <w:r>
        <w:t xml:space="preserve"> </w:t>
      </w:r>
      <w:r>
        <w:t xml:space="preserve">“be watchful, stand firm in the faith, act like men, be strong, let all that you do be done in love”</w:t>
      </w:r>
      <w:r>
        <w:t xml:space="preserve"> </w:t>
      </w:r>
      <w:r>
        <w:t xml:space="preserve">(vv. 13–14) — before commending the household of Stephanas as the firstfruits of Achaia and urging submission to their leadership (vv. 15–18). The letter closes with greetings from the churches of Asia, Aquila and Prisca, and from the brothers generally, a handwritten personal greeting from Paul, the anathema against those who do not love the Lord, the Aramaic prayer</w:t>
      </w:r>
      <w:r>
        <w:t xml:space="preserve"> </w:t>
      </w:r>
      <w:r>
        <w:rPr>
          <w:i/>
          <w:iCs/>
        </w:rPr>
        <w:t xml:space="preserve">Maranatha</w:t>
      </w:r>
      <w:r>
        <w:t xml:space="preserve">, a benediction of grace, and a closing note of love (vv. 19–24).</w:t>
      </w:r>
    </w:p>
    <w:p>
      <w:pPr>
        <w:pStyle w:val="BodyText"/>
      </w:pPr>
      <w:r>
        <w:rPr>
          <w:b/>
          <w:bCs/>
        </w:rPr>
        <w:t xml:space="preserve">This Text — Intent:</w:t>
      </w:r>
    </w:p>
    <w:p>
      <w:pPr>
        <w:pStyle w:val="BodyText"/>
      </w:pPr>
      <w:r>
        <w:t xml:space="preserve">God is using this chapter to accomplish several interrelated effects simultaneously. First, through the collection instructions, He is shaping the Corinthians’ understanding of what gospel-formed generosity looks like in practice — ordered, consistent, proportionate, and embedded in the life of the church rather than ad hoc or coerced. Second, through Paul’s travel plans and commendations, God is reinforcing the unity and interdependence of the body — the Corinthians are not an independent church answering to themselves; they are embedded in a network of gospel relationships, mutual accountability, and shared mission. Third, and most powerfully, through the imperatives of verses 13–14 and the closing warning-and-benediction of verses 22–24, God is pressing the Corinthians (and every reader) to a decision about ultimate allegiance — do you love the Lord or not? The</w:t>
      </w:r>
      <w:r>
        <w:t xml:space="preserve"> </w:t>
      </w:r>
      <w:r>
        <w:rPr>
          <w:i/>
          <w:iCs/>
        </w:rPr>
        <w:t xml:space="preserve">anathema</w:t>
      </w:r>
      <w:r>
        <w:t xml:space="preserve"> </w:t>
      </w:r>
      <w:r>
        <w:t xml:space="preserve">and the</w:t>
      </w:r>
      <w:r>
        <w:t xml:space="preserve"> </w:t>
      </w:r>
      <w:r>
        <w:rPr>
          <w:i/>
          <w:iCs/>
        </w:rPr>
        <w:t xml:space="preserve">Maranatha</w:t>
      </w:r>
      <w:r>
        <w:t xml:space="preserve"> </w:t>
      </w:r>
      <w:r>
        <w:t xml:space="preserve">are not liturgical boilerplate; they frame the entire letter’s demands with eschatological weight. Everything Paul has called the Corinthians to — unity, purity, order, love — is set against the backdrop of a coming Lord. The intent is to land the entire letter’s argument in the reader’s will and affections:</w:t>
      </w:r>
      <w:r>
        <w:t xml:space="preserve"> </w:t>
      </w:r>
      <w:r>
        <w:rPr>
          <w:i/>
          <w:iCs/>
        </w:rPr>
        <w:t xml:space="preserve">this is what it looks like to live as people who love the Lord and are waiting for His return.</w:t>
      </w:r>
    </w:p>
    <w:p>
      <w:r>
        <w:pict>
          <v:rect style="width:0;height:1.5pt" o:hralign="center" o:hrstd="t" o:hr="t"/>
        </w:pict>
      </w:r>
    </w:p>
    <w:p>
      <w:pPr>
        <w:pStyle w:val="FirstParagraph"/>
      </w:pPr>
      <w:r>
        <w:rPr>
          <w:b/>
          <w:bCs/>
        </w:rPr>
        <w:t xml:space="preserve">Subject Sentence:</w:t>
      </w:r>
      <w:r>
        <w:t xml:space="preserve"> </w:t>
      </w:r>
      <w:r>
        <w:t xml:space="preserve">Gospel life is ordered, interconnected, loving, and oriented toward the returning Lord.</w:t>
      </w:r>
    </w:p>
    <w:p>
      <w:r>
        <w:pict>
          <v:rect style="width:0;height:1.5pt" o:hralign="center" o:hrstd="t" o:hr="t"/>
        </w:pict>
      </w:r>
    </w:p>
    <w:p>
      <w:pPr>
        <w:pStyle w:val="FirstParagraph"/>
      </w:pPr>
      <w:r>
        <w:rPr>
          <w:b/>
          <w:bCs/>
        </w:rPr>
        <w:t xml:space="preserve">Primary Claim:</w:t>
      </w:r>
      <w:r>
        <w:t xml:space="preserve"> </w:t>
      </w:r>
      <w:r>
        <w:t xml:space="preserve">The same Lord whose return Paul anticipates with longing —</w:t>
      </w:r>
      <w:r>
        <w:t xml:space="preserve"> </w:t>
      </w:r>
      <w:r>
        <w:rPr>
          <w:i/>
          <w:iCs/>
        </w:rPr>
        <w:t xml:space="preserve">Maranatha</w:t>
      </w:r>
      <w:r>
        <w:t xml:space="preserve"> </w:t>
      </w:r>
      <w:r>
        <w:t xml:space="preserve">— is calling His people right now to ordered giving, faithful relationships, courageous love, and undivided allegiance; to live any other way is to not love Him at all.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Collection (vv. 1–4):</w:t>
      </w:r>
      <w:r>
        <w:t xml:space="preserve"> </w:t>
      </w:r>
      <w:r>
        <w:t xml:space="preserve">Roman Catholic interpreters have sometimes read the</w:t>
      </w:r>
      <w:r>
        <w:t xml:space="preserve"> </w:t>
      </w:r>
      <w:r>
        <w:t xml:space="preserve">“collection for the saints”</w:t>
      </w:r>
      <w:r>
        <w:t xml:space="preserve"> </w:t>
      </w:r>
      <w:r>
        <w:t xml:space="preserve">in light of a theology of almsgiving as meritorious before God, or as establishing a precedent for financial support of a central church authority. This reading imports categories the text does not support. Paul’s instruction is explicitly for</w:t>
      </w:r>
      <w:r>
        <w:t xml:space="preserve"> </w:t>
      </w:r>
      <w:r>
        <w:t xml:space="preserve">“the saints”</w:t>
      </w:r>
      <w:r>
        <w:t xml:space="preserve"> </w:t>
      </w:r>
      <w:r>
        <w:t xml:space="preserve">in Jerusalem — a specific, historically grounded act of solidarity between Gentile churches and the Jerusalem community, carrying both material and theological significance (Jews and Gentiles united in the one body, the Gentiles owing a spiritual debt to Jerusalem, per Romans 15:26–27). The giving is ordered and proportionate —</w:t>
      </w:r>
      <w:r>
        <w:t xml:space="preserve"> </w:t>
      </w:r>
      <w:r>
        <w:t xml:space="preserve">“as he may prosper”</w:t>
      </w:r>
      <w:r>
        <w:t xml:space="preserve"> </w:t>
      </w:r>
      <w:r>
        <w:t xml:space="preserve">— but there is no meritorious framework and no central authority implied. The Reformed reading, which understands this as disciplined, gospel-motivated, Spirit-prompted generosity flowing from grace received rather than grace earned, is the reading the text demands.</w:t>
      </w:r>
    </w:p>
    <w:p>
      <w:pPr>
        <w:pStyle w:val="BodyText"/>
      </w:pPr>
      <w:r>
        <w:rPr>
          <w:b/>
          <w:bCs/>
        </w:rPr>
        <w:t xml:space="preserve">“Act Like Men, Be Strong”</w:t>
      </w:r>
      <w:r>
        <w:rPr>
          <w:b/>
          <w:bCs/>
        </w:rPr>
        <w:t xml:space="preserve"> </w:t>
      </w:r>
      <w:r>
        <w:rPr>
          <w:b/>
          <w:bCs/>
        </w:rPr>
        <w:t xml:space="preserve">(v. 13):</w:t>
      </w:r>
      <w:r>
        <w:t xml:space="preserve"> </w:t>
      </w:r>
      <w:r>
        <w:t xml:space="preserve">Egalitarian interpreters within evangelical Protestantism sometimes flatten these imperatives into gender-neutral exhortations, rendering</w:t>
      </w:r>
      <w:r>
        <w:t xml:space="preserve"> </w:t>
      </w:r>
      <w:r>
        <w:rPr>
          <w:i/>
          <w:iCs/>
        </w:rPr>
        <w:t xml:space="preserve">andrizesthe</w:t>
      </w:r>
      <w:r>
        <w:t xml:space="preserve"> </w:t>
      </w:r>
      <w:r>
        <w:t xml:space="preserve">(</w:t>
      </w:r>
      <w:r>
        <w:t xml:space="preserve">“act like men”</w:t>
      </w:r>
      <w:r>
        <w:t xml:space="preserve">) as simply</w:t>
      </w:r>
      <w:r>
        <w:t xml:space="preserve"> </w:t>
      </w:r>
      <w:r>
        <w:t xml:space="preserve">“be courageous”</w:t>
      </w:r>
      <w:r>
        <w:t xml:space="preserve"> </w:t>
      </w:r>
      <w:r>
        <w:t xml:space="preserve">and removing the masculine specificity. While the application is certainly not restricted to biological males in its call to courage and strength, the text does use a distinctively gendered verb — one with a specific resonance in a culture where virtuous masculine courage was a recognized category. The Reformed reading acknowledges that the direct referent is a posture of courageous, non-cowering strength applicable to the whole congregation, but resists emptying the word of its rhetorical texture. The point is not restriction but vividness: stand up, stop being passive, act with the kind of determined courage that does not wilt under pressure.</w:t>
      </w:r>
    </w:p>
    <w:p>
      <w:pPr>
        <w:pStyle w:val="BodyText"/>
      </w:pPr>
      <w:r>
        <w:rPr>
          <w:b/>
          <w:bCs/>
        </w:rPr>
        <w:t xml:space="preserve">The Anathema and Maranatha (vv. 22–23):</w:t>
      </w:r>
      <w:r>
        <w:t xml:space="preserve"> </w:t>
      </w:r>
      <w:r>
        <w:t xml:space="preserve">Pentecostal and Charismatic interpreters have sometimes treated</w:t>
      </w:r>
      <w:r>
        <w:t xml:space="preserve"> </w:t>
      </w:r>
      <w:r>
        <w:rPr>
          <w:i/>
          <w:iCs/>
        </w:rPr>
        <w:t xml:space="preserve">Maranatha</w:t>
      </w:r>
      <w:r>
        <w:t xml:space="preserve"> </w:t>
      </w:r>
      <w:r>
        <w:t xml:space="preserve">primarily as a liturgical acclamation of present experience —</w:t>
      </w:r>
      <w:r>
        <w:t xml:space="preserve"> </w:t>
      </w:r>
      <w:r>
        <w:t xml:space="preserve">“Come, Lord”</w:t>
      </w:r>
      <w:r>
        <w:t xml:space="preserve"> </w:t>
      </w:r>
      <w:r>
        <w:t xml:space="preserve">understood as invoking Christ’s present presence in worship. This is not wrong as far as it goes, but it under-reads the eschatological weight of the term. The</w:t>
      </w:r>
      <w:r>
        <w:t xml:space="preserve"> </w:t>
      </w:r>
      <w:r>
        <w:rPr>
          <w:i/>
          <w:iCs/>
        </w:rPr>
        <w:t xml:space="preserve">anathema</w:t>
      </w:r>
      <w:r>
        <w:t xml:space="preserve"> </w:t>
      </w:r>
      <w:r>
        <w:t xml:space="preserve">and</w:t>
      </w:r>
      <w:r>
        <w:t xml:space="preserve"> </w:t>
      </w:r>
      <w:r>
        <w:rPr>
          <w:i/>
          <w:iCs/>
        </w:rPr>
        <w:t xml:space="preserve">Maranatha</w:t>
      </w:r>
      <w:r>
        <w:t xml:space="preserve"> </w:t>
      </w:r>
      <w:r>
        <w:t xml:space="preserve">together form a deliberate eschatological bracket: love the Lord or face judgment at His coming. The Didache and early patristic evidence confirms this was an eschatological formula, not merely a worship acclamation. The Reformed reading holds both dimensions — present longing and eschatological urgency — but insists the primary force here is anticipatory and judicial. The closing grace and love notes (vv. 23–24) do not soften this but show that the same Lord who comes in judgment comes also in grace toward those who are His.</w:t>
      </w:r>
    </w:p>
    <w:p>
      <w:pPr>
        <w:pStyle w:val="BodyText"/>
      </w:pPr>
      <w:r>
        <w:rPr>
          <w:b/>
          <w:bCs/>
        </w:rPr>
        <w:t xml:space="preserve">The Household of Stephanas and Submission (vv. 15–18):</w:t>
      </w:r>
      <w:r>
        <w:t xml:space="preserve"> </w:t>
      </w:r>
      <w:r>
        <w:t xml:space="preserve">Some Baptist interpreters, wary of any hierarchical language, have read Paul’s call to</w:t>
      </w:r>
      <w:r>
        <w:t xml:space="preserve"> </w:t>
      </w:r>
      <w:r>
        <w:t xml:space="preserve">“be subject”</w:t>
      </w:r>
      <w:r>
        <w:t xml:space="preserve"> </w:t>
      </w:r>
      <w:r>
        <w:t xml:space="preserve">to the household of Stephanas as purely voluntary and relational rather than carrying any formal authority. The text does not support a purely flat reading — Paul uses the language of order (</w:t>
      </w:r>
      <w:r>
        <w:rPr>
          <w:i/>
          <w:iCs/>
        </w:rPr>
        <w:t xml:space="preserve">taxis</w:t>
      </w:r>
      <w:r>
        <w:t xml:space="preserve">-shaped language), first-fruits, and service, and calls for</w:t>
      </w:r>
      <w:r>
        <w:t xml:space="preserve"> </w:t>
      </w:r>
      <w:r>
        <w:rPr>
          <w:i/>
          <w:iCs/>
        </w:rPr>
        <w:t xml:space="preserve">submission</w:t>
      </w:r>
      <w:r>
        <w:t xml:space="preserve"> </w:t>
      </w:r>
      <w:r>
        <w:t xml:space="preserve">(</w:t>
      </w:r>
      <w:r>
        <w:rPr>
          <w:i/>
          <w:iCs/>
        </w:rPr>
        <w:t xml:space="preserve">hupotassō</w:t>
      </w:r>
      <w:r>
        <w:t xml:space="preserve">), which is not merely</w:t>
      </w:r>
      <w:r>
        <w:t xml:space="preserve"> </w:t>
      </w:r>
      <w:r>
        <w:t xml:space="preserve">“appreciate these people.”</w:t>
      </w:r>
      <w:r>
        <w:t xml:space="preserve"> </w:t>
      </w:r>
      <w:r>
        <w:t xml:space="preserve">The Reformed reading, consistent with a robust theology of church leadership and mutual submission in the body, reads this as an early, non-officer-specific form of recognizing and submitting to those who have demonstrated faithful gospel service — a principle that points toward and informs eldership and diaconal structures without being reducible to them.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15:25–27</w:t>
      </w:r>
      <w:r>
        <w:t xml:space="preserve"> </w:t>
      </w:r>
      <w:r>
        <w:t xml:space="preserve">— Paul’s parallel account of the Jerusalem collection explicitly names the theological rationale: Gentile churches are</w:t>
      </w:r>
      <w:r>
        <w:t xml:space="preserve"> </w:t>
      </w:r>
      <w:r>
        <w:t xml:space="preserve">“debtors”</w:t>
      </w:r>
      <w:r>
        <w:t xml:space="preserve"> </w:t>
      </w:r>
      <w:r>
        <w:t xml:space="preserve">to Jerusalem, and material generosity expresses spiritual solidarity across the Jewish-Gentile divide. This is not mere charity but gospel enacted.</w:t>
      </w:r>
    </w:p>
    <w:p>
      <w:pPr>
        <w:numPr>
          <w:ilvl w:val="0"/>
          <w:numId w:val="1001"/>
        </w:numPr>
      </w:pPr>
      <w:r>
        <w:rPr>
          <w:b/>
          <w:bCs/>
        </w:rPr>
        <w:t xml:space="preserve">2 Corinthians 9:6–8</w:t>
      </w:r>
      <w:r>
        <w:t xml:space="preserve"> </w:t>
      </w:r>
      <w:r>
        <w:t xml:space="preserve">— Paul’s extended theology of giving —</w:t>
      </w:r>
      <w:r>
        <w:t xml:space="preserve"> </w:t>
      </w:r>
      <w:r>
        <w:t xml:space="preserve">“God loves a cheerful giver,”</w:t>
      </w:r>
      <w:r>
        <w:t xml:space="preserve"> </w:t>
      </w:r>
      <w:r>
        <w:t xml:space="preserve">“whoever sows sparingly reaps sparingly”</w:t>
      </w:r>
      <w:r>
        <w:t xml:space="preserve"> </w:t>
      </w:r>
      <w:r>
        <w:t xml:space="preserve">— provides the motivational grounding that 1 Corinthians 16:1–4 assumes. Together these passages constitute Paul’s full theology of Christian giving: ordered, proportionate, cheerful, grace-motivated.</w:t>
      </w:r>
    </w:p>
    <w:p>
      <w:pPr>
        <w:numPr>
          <w:ilvl w:val="0"/>
          <w:numId w:val="1001"/>
        </w:numPr>
      </w:pPr>
      <w:r>
        <w:rPr>
          <w:b/>
          <w:bCs/>
        </w:rPr>
        <w:t xml:space="preserve">Ephesians 6:10–18</w:t>
      </w:r>
      <w:r>
        <w:t xml:space="preserve"> </w:t>
      </w:r>
      <w:r>
        <w:t xml:space="preserve">—</w:t>
      </w:r>
      <w:r>
        <w:t xml:space="preserve"> </w:t>
      </w:r>
      <w:r>
        <w:t xml:space="preserve">“Be strong in the Lord and in the strength of his might”</w:t>
      </w:r>
      <w:r>
        <w:t xml:space="preserve"> </w:t>
      </w:r>
      <w:r>
        <w:t xml:space="preserve">directly echoes the imperatives of verse 13. The courageous, watchful, firm posture called for in 1 Corinthians 16:13 is the same posture the Ephesian letter grounds in union with Christ against spiritual opposition.</w:t>
      </w:r>
    </w:p>
    <w:p>
      <w:pPr>
        <w:numPr>
          <w:ilvl w:val="0"/>
          <w:numId w:val="1001"/>
        </w:numPr>
      </w:pPr>
      <w:r>
        <w:rPr>
          <w:b/>
          <w:bCs/>
        </w:rPr>
        <w:t xml:space="preserve">Revelation 22:20</w:t>
      </w:r>
      <w:r>
        <w:t xml:space="preserve"> </w:t>
      </w:r>
      <w:r>
        <w:t xml:space="preserve">— John’s closing</w:t>
      </w:r>
      <w:r>
        <w:t xml:space="preserve"> </w:t>
      </w:r>
      <w:r>
        <w:rPr>
          <w:i/>
          <w:iCs/>
        </w:rPr>
        <w:t xml:space="preserve">Maranatha</w:t>
      </w:r>
      <w:r>
        <w:t xml:space="preserve"> </w:t>
      </w:r>
      <w:r>
        <w:t xml:space="preserve">—</w:t>
      </w:r>
      <w:r>
        <w:t xml:space="preserve"> </w:t>
      </w:r>
      <w:r>
        <w:t xml:space="preserve">“Come, Lord Jesus”</w:t>
      </w:r>
      <w:r>
        <w:t xml:space="preserve"> </w:t>
      </w:r>
      <w:r>
        <w:t xml:space="preserve">— confirms that Paul’s Aramaic formula is the church’s eschatological posture across the canon: the community that loves the Lord lives in active, longing expectation of His return, and this expectation governs how they live now.</w:t>
      </w:r>
    </w:p>
    <w:p>
      <w:pPr>
        <w:numPr>
          <w:ilvl w:val="0"/>
          <w:numId w:val="1001"/>
        </w:numPr>
      </w:pPr>
      <w:r>
        <w:rPr>
          <w:b/>
          <w:bCs/>
        </w:rPr>
        <w:t xml:space="preserve">Matthew 24:42–44</w:t>
      </w:r>
      <w:r>
        <w:t xml:space="preserve"> </w:t>
      </w:r>
      <w:r>
        <w:t xml:space="preserve">—</w:t>
      </w:r>
      <w:r>
        <w:t xml:space="preserve"> </w:t>
      </w:r>
      <w:r>
        <w:t xml:space="preserve">“Watch therefore, for you do not know on what day your Lord is coming.”</w:t>
      </w:r>
      <w:r>
        <w:t xml:space="preserve"> </w:t>
      </w:r>
      <w:r>
        <w:t xml:space="preserve">Jesus’ own command to watchfulness grounds Paul’s</w:t>
      </w:r>
      <w:r>
        <w:t xml:space="preserve"> </w:t>
      </w:r>
      <w:r>
        <w:t xml:space="preserve">“be watchful”</w:t>
      </w:r>
      <w:r>
        <w:t xml:space="preserve"> </w:t>
      </w:r>
      <w:r>
        <w:t xml:space="preserve">imperative in 1 Corinthians 16:13 within the larger New Testament theology of eschatological alertness.</w:t>
      </w:r>
    </w:p>
    <w:p>
      <w:r>
        <w:pict>
          <v:rect style="width:0;height:1.5pt" o:hralign="center" o:hrstd="t" o:hr="t"/>
        </w:pict>
      </w:r>
    </w:p>
    <w:p>
      <w:pPr>
        <w:pStyle w:val="FirstParagraph"/>
      </w:pPr>
      <w:r>
        <w:rPr>
          <w:b/>
          <w:bCs/>
        </w:rPr>
        <w:t xml:space="preserve">Aim:</w:t>
      </w:r>
      <w:r>
        <w:t xml:space="preserve"> </w:t>
      </w:r>
      <w:r>
        <w:t xml:space="preserve">To demonstrate that Paul’s</w:t>
      </w:r>
      <w:r>
        <w:t xml:space="preserve"> </w:t>
      </w:r>
      <w:r>
        <w:t xml:space="preserve">“closing logistics”</w:t>
      </w:r>
      <w:r>
        <w:t xml:space="preserve"> </w:t>
      </w:r>
      <w:r>
        <w:t xml:space="preserve">are in fact a compressed theology of gospel-ordered life — giving, relationships, courage, love, and eschatological allegiance — and to press the hearer to examine whether their allegiance to the returning Lord is genuine and structuring their whole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collection for the saints — follow the same order as the churches of Galatia</w:t>
            </w:r>
          </w:p>
        </w:tc>
        <w:tc>
          <w:tcPr/>
          <w:p>
            <w:pPr>
              <w:pStyle w:val="Compact"/>
            </w:pPr>
            <w:r>
              <w:t xml:space="preserve">Paul’s apostolic consistency: one pattern across all churches</w:t>
            </w:r>
          </w:p>
        </w:tc>
      </w:tr>
      <w:tr>
        <w:tc>
          <w:tcPr/>
          <w:p>
            <w:pPr>
              <w:pStyle w:val="Compact"/>
            </w:pPr>
            <w:r>
              <w:t xml:space="preserve">2</w:t>
            </w:r>
          </w:p>
        </w:tc>
        <w:tc>
          <w:tcPr/>
          <w:p>
            <w:pPr>
              <w:pStyle w:val="Compact"/>
            </w:pPr>
            <w:r>
              <w:t xml:space="preserve">Each person to set aside on the first day of the week, proportionate to income, so no collection is needed at Paul’s arrival</w:t>
            </w:r>
          </w:p>
        </w:tc>
        <w:tc>
          <w:tcPr/>
          <w:p>
            <w:pPr>
              <w:pStyle w:val="Compact"/>
            </w:pPr>
            <w:r>
              <w:t xml:space="preserve">Systematic, pre-planned, proportionate giving; tied to the Lord’s Day rhythm</w:t>
            </w:r>
          </w:p>
        </w:tc>
      </w:tr>
      <w:tr>
        <w:tc>
          <w:tcPr/>
          <w:p>
            <w:pPr>
              <w:pStyle w:val="Compact"/>
            </w:pPr>
            <w:r>
              <w:t xml:space="preserve">3–4</w:t>
            </w:r>
          </w:p>
        </w:tc>
        <w:tc>
          <w:tcPr/>
          <w:p>
            <w:pPr>
              <w:pStyle w:val="Compact"/>
            </w:pPr>
            <w:r>
              <w:t xml:space="preserve">When Paul arrives, he will send those the Corinthians approve with letters to carry the gift to Jerusalem; he may go himself if it seems advisable</w:t>
            </w:r>
          </w:p>
        </w:tc>
        <w:tc>
          <w:tcPr/>
          <w:p>
            <w:pPr>
              <w:pStyle w:val="Compact"/>
            </w:pPr>
            <w:r>
              <w:t xml:space="preserve">Accountability and transparency in financial stewardship; the gift represents the church, not just Paul</w:t>
            </w:r>
          </w:p>
        </w:tc>
      </w:tr>
      <w:tr>
        <w:tc>
          <w:tcPr/>
          <w:p>
            <w:pPr>
              <w:pStyle w:val="Compact"/>
            </w:pPr>
            <w:r>
              <w:t xml:space="preserve">5–6</w:t>
            </w:r>
          </w:p>
        </w:tc>
        <w:tc>
          <w:tcPr/>
          <w:p>
            <w:pPr>
              <w:pStyle w:val="Compact"/>
            </w:pPr>
            <w:r>
              <w:t xml:space="preserve">Paul plans to visit after passing through Macedonia; hopes to spend the winter with them and be helped on his way</w:t>
            </w:r>
          </w:p>
        </w:tc>
        <w:tc>
          <w:tcPr/>
          <w:p>
            <w:pPr>
              <w:pStyle w:val="Compact"/>
            </w:pPr>
            <w:r>
              <w:t xml:space="preserve">Long stay intended — not a quick visit but genuine fellowship and support</w:t>
            </w:r>
          </w:p>
        </w:tc>
      </w:tr>
      <w:tr>
        <w:tc>
          <w:tcPr/>
          <w:p>
            <w:pPr>
              <w:pStyle w:val="Compact"/>
            </w:pPr>
            <w:r>
              <w:t xml:space="preserve">7</w:t>
            </w:r>
          </w:p>
        </w:tc>
        <w:tc>
          <w:tcPr/>
          <w:p>
            <w:pPr>
              <w:pStyle w:val="Compact"/>
            </w:pPr>
            <w:r>
              <w:t xml:space="preserve">Does not want to see them</w:t>
            </w:r>
            <w:r>
              <w:t xml:space="preserve"> </w:t>
            </w:r>
            <w:r>
              <w:t xml:space="preserve">“in passing”</w:t>
            </w:r>
            <w:r>
              <w:t xml:space="preserve"> </w:t>
            </w:r>
            <w:r>
              <w:t xml:space="preserve">— hopes to spend real time with them if the Lord permits</w:t>
            </w:r>
          </w:p>
        </w:tc>
        <w:tc>
          <w:tcPr/>
          <w:p>
            <w:pPr>
              <w:pStyle w:val="Compact"/>
            </w:pPr>
            <w:r>
              <w:t xml:space="preserve">Pastoral depth: quality of relationship matters;</w:t>
            </w:r>
            <w:r>
              <w:t xml:space="preserve"> </w:t>
            </w:r>
            <w:r>
              <w:t xml:space="preserve">“if the Lord permits”</w:t>
            </w:r>
            <w:r>
              <w:t xml:space="preserve"> </w:t>
            </w:r>
            <w:r>
              <w:t xml:space="preserve">— Pauline theological qualification (cf. James 4:15)</w:t>
            </w:r>
          </w:p>
        </w:tc>
      </w:tr>
      <w:tr>
        <w:tc>
          <w:tcPr/>
          <w:p>
            <w:pPr>
              <w:pStyle w:val="Compact"/>
            </w:pPr>
            <w:r>
              <w:t xml:space="preserve">8–9</w:t>
            </w:r>
          </w:p>
        </w:tc>
        <w:tc>
          <w:tcPr/>
          <w:p>
            <w:pPr>
              <w:pStyle w:val="Compact"/>
            </w:pPr>
            <w:r>
              <w:t xml:space="preserve">Will stay in Ephesus until Pentecost; a wide, effective door is open, though there are many adversaries</w:t>
            </w:r>
          </w:p>
        </w:tc>
        <w:tc>
          <w:tcPr/>
          <w:p>
            <w:pPr>
              <w:pStyle w:val="Compact"/>
            </w:pPr>
            <w:r>
              <w:t xml:space="preserve">Open door of ministry does not mean absence of opposition — they coexist</w:t>
            </w:r>
          </w:p>
        </w:tc>
      </w:tr>
      <w:tr>
        <w:tc>
          <w:tcPr/>
          <w:p>
            <w:pPr>
              <w:pStyle w:val="Compact"/>
            </w:pPr>
            <w:r>
              <w:t xml:space="preserve">10–11</w:t>
            </w:r>
          </w:p>
        </w:tc>
        <w:tc>
          <w:tcPr/>
          <w:p>
            <w:pPr>
              <w:pStyle w:val="Compact"/>
            </w:pPr>
            <w:r>
              <w:t xml:space="preserve">Timothy is coming; receive him without fear, let no one despise him — he is doing the Lord’s work; send him on his way in peace</w:t>
            </w:r>
          </w:p>
        </w:tc>
        <w:tc>
          <w:tcPr/>
          <w:p>
            <w:pPr>
              <w:pStyle w:val="Compact"/>
            </w:pPr>
            <w:r>
              <w:t xml:space="preserve">Timothy apparently anxious or junior; Paul protects him with apostolic endorsement</w:t>
            </w:r>
          </w:p>
        </w:tc>
      </w:tr>
      <w:tr>
        <w:tc>
          <w:tcPr/>
          <w:p>
            <w:pPr>
              <w:pStyle w:val="Compact"/>
            </w:pPr>
            <w:r>
              <w:t xml:space="preserve">12</w:t>
            </w:r>
          </w:p>
        </w:tc>
        <w:tc>
          <w:tcPr/>
          <w:p>
            <w:pPr>
              <w:pStyle w:val="Compact"/>
            </w:pPr>
            <w:r>
              <w:t xml:space="preserve">Apollos strongly urged to visit but chose not to; will come when he has opportunity</w:t>
            </w:r>
          </w:p>
        </w:tc>
        <w:tc>
          <w:tcPr/>
          <w:p>
            <w:pPr>
              <w:pStyle w:val="Compact"/>
            </w:pPr>
            <w:r>
              <w:t xml:space="preserve">Dispels faction-fueling speculation: Paul and Apollos have no rivalry; they work in coordination</w:t>
            </w:r>
          </w:p>
        </w:tc>
      </w:tr>
      <w:tr>
        <w:tc>
          <w:tcPr/>
          <w:p>
            <w:pPr>
              <w:pStyle w:val="Compact"/>
            </w:pPr>
            <w:r>
              <w:t xml:space="preserve">13</w:t>
            </w:r>
          </w:p>
        </w:tc>
        <w:tc>
          <w:tcPr/>
          <w:p>
            <w:pPr>
              <w:pStyle w:val="Compact"/>
            </w:pPr>
            <w:r>
              <w:t xml:space="preserve">Five rapid imperatives: be watchful, stand firm in the faith, act like men, be strong</w:t>
            </w:r>
          </w:p>
        </w:tc>
        <w:tc>
          <w:tcPr/>
          <w:p>
            <w:pPr>
              <w:pStyle w:val="Compact"/>
            </w:pPr>
            <w:r>
              <w:t xml:space="preserve">Verbal density signals urgency; each imperative addresses a specific posture under threat</w:t>
            </w:r>
          </w:p>
        </w:tc>
      </w:tr>
      <w:tr>
        <w:tc>
          <w:tcPr/>
          <w:p>
            <w:pPr>
              <w:pStyle w:val="Compact"/>
            </w:pPr>
            <w:r>
              <w:t xml:space="preserve">14</w:t>
            </w:r>
          </w:p>
        </w:tc>
        <w:tc>
          <w:tcPr/>
          <w:p>
            <w:pPr>
              <w:pStyle w:val="Compact"/>
            </w:pPr>
            <w:r>
              <w:t xml:space="preserve">Let all that you do be done in love</w:t>
            </w:r>
          </w:p>
        </w:tc>
        <w:tc>
          <w:tcPr/>
          <w:p>
            <w:pPr>
              <w:pStyle w:val="Compact"/>
            </w:pPr>
            <w:r>
              <w:t xml:space="preserve">The capstone imperative — all the strength and courage of v. 13 must be clothed in love (cf. 1 Cor. 13)</w:t>
            </w:r>
          </w:p>
        </w:tc>
      </w:tr>
      <w:tr>
        <w:tc>
          <w:tcPr/>
          <w:p>
            <w:pPr>
              <w:pStyle w:val="Compact"/>
            </w:pPr>
            <w:r>
              <w:t xml:space="preserve">15–16</w:t>
            </w:r>
          </w:p>
        </w:tc>
        <w:tc>
          <w:tcPr/>
          <w:p>
            <w:pPr>
              <w:pStyle w:val="Compact"/>
            </w:pPr>
            <w:r>
              <w:t xml:space="preserve">Commendation of Stephanas household — firstfruits of Achaia, devoted to service; submit to such people and to every fellow worker and laborer</w:t>
            </w:r>
          </w:p>
        </w:tc>
        <w:tc>
          <w:tcPr/>
          <w:p>
            <w:pPr>
              <w:pStyle w:val="Compact"/>
            </w:pPr>
            <w:r>
              <w:t xml:space="preserve">First formal recognition of local leadership structures; service precedes submission</w:t>
            </w:r>
          </w:p>
        </w:tc>
      </w:tr>
      <w:tr>
        <w:tc>
          <w:tcPr/>
          <w:p>
            <w:pPr>
              <w:pStyle w:val="Compact"/>
            </w:pPr>
            <w:r>
              <w:t xml:space="preserve">17–18</w:t>
            </w:r>
          </w:p>
        </w:tc>
        <w:tc>
          <w:tcPr/>
          <w:p>
            <w:pPr>
              <w:pStyle w:val="Compact"/>
            </w:pPr>
            <w:r>
              <w:t xml:space="preserve">Stephanas, Fortunatus, Achaicus have arrived — they refreshed Paul’s spirit and the Corinthians’ (likely letter-bearers); give recognition to such people</w:t>
            </w:r>
          </w:p>
        </w:tc>
        <w:tc>
          <w:tcPr/>
          <w:p>
            <w:pPr>
              <w:pStyle w:val="Compact"/>
            </w:pPr>
            <w:r>
              <w:t xml:space="preserve">The visit is pastoral reciprocity: their presence brought Paul the Corinthians’ own refreshment</w:t>
            </w:r>
          </w:p>
        </w:tc>
      </w:tr>
      <w:tr>
        <w:tc>
          <w:tcPr/>
          <w:p>
            <w:pPr>
              <w:pStyle w:val="Compact"/>
            </w:pPr>
            <w:r>
              <w:t xml:space="preserve">19–20</w:t>
            </w:r>
          </w:p>
        </w:tc>
        <w:tc>
          <w:tcPr/>
          <w:p>
            <w:pPr>
              <w:pStyle w:val="Compact"/>
            </w:pPr>
            <w:r>
              <w:t xml:space="preserve">Greetings from the Asian churches, Aquila and Prisca and the church in their house, all the brothers; greet one another with a holy kiss</w:t>
            </w:r>
          </w:p>
        </w:tc>
        <w:tc>
          <w:tcPr/>
          <w:p>
            <w:pPr>
              <w:pStyle w:val="Compact"/>
            </w:pPr>
            <w:r>
              <w:t xml:space="preserve">The Corinthians are embedded in a wider catholic community; isolation is not an option</w:t>
            </w:r>
          </w:p>
        </w:tc>
      </w:tr>
      <w:tr>
        <w:tc>
          <w:tcPr/>
          <w:p>
            <w:pPr>
              <w:pStyle w:val="Compact"/>
            </w:pPr>
            <w:r>
              <w:t xml:space="preserve">21</w:t>
            </w:r>
          </w:p>
        </w:tc>
        <w:tc>
          <w:tcPr/>
          <w:p>
            <w:pPr>
              <w:pStyle w:val="Compact"/>
            </w:pPr>
            <w:r>
              <w:t xml:space="preserve">Paul writes his personal greeting in his own hand</w:t>
            </w:r>
          </w:p>
        </w:tc>
        <w:tc>
          <w:tcPr/>
          <w:p>
            <w:pPr>
              <w:pStyle w:val="Compact"/>
            </w:pPr>
            <w:r>
              <w:t xml:space="preserve">Authentication of the letter; also signal of pastoral tenderness despite the letter’s severity</w:t>
            </w:r>
          </w:p>
        </w:tc>
      </w:tr>
      <w:tr>
        <w:tc>
          <w:tcPr/>
          <w:p>
            <w:pPr>
              <w:pStyle w:val="Compact"/>
            </w:pPr>
            <w:r>
              <w:t xml:space="preserve">22</w:t>
            </w:r>
          </w:p>
        </w:tc>
        <w:tc>
          <w:tcPr/>
          <w:p>
            <w:pPr>
              <w:pStyle w:val="Compact"/>
            </w:pPr>
            <w:r>
              <w:t xml:space="preserve">If anyone does not love the Lord, let him be accursed (</w:t>
            </w:r>
            <w:r>
              <w:rPr>
                <w:i/>
                <w:iCs/>
              </w:rPr>
              <w:t xml:space="preserve">anathema</w:t>
            </w:r>
            <w:r>
              <w:t xml:space="preserve">);</w:t>
            </w:r>
            <w:r>
              <w:t xml:space="preserve"> </w:t>
            </w:r>
            <w:r>
              <w:rPr>
                <w:i/>
                <w:iCs/>
              </w:rPr>
              <w:t xml:space="preserve">Maranatha</w:t>
            </w:r>
            <w:r>
              <w:t xml:space="preserve"> </w:t>
            </w:r>
            <w:r>
              <w:t xml:space="preserve">—</w:t>
            </w:r>
            <w:r>
              <w:t xml:space="preserve"> </w:t>
            </w:r>
            <w:r>
              <w:t xml:space="preserve">“Our Lord, come”</w:t>
            </w:r>
          </w:p>
        </w:tc>
        <w:tc>
          <w:tcPr/>
          <w:p>
            <w:pPr>
              <w:pStyle w:val="Compact"/>
            </w:pPr>
            <w:r>
              <w:t xml:space="preserve">The sharpest moment in the closing; ultimate allegiance demanded; eschatological urgency invoked</w:t>
            </w:r>
          </w:p>
        </w:tc>
      </w:tr>
      <w:tr>
        <w:tc>
          <w:tcPr/>
          <w:p>
            <w:pPr>
              <w:pStyle w:val="Compact"/>
            </w:pPr>
            <w:r>
              <w:t xml:space="preserve">23</w:t>
            </w:r>
          </w:p>
        </w:tc>
        <w:tc>
          <w:tcPr/>
          <w:p>
            <w:pPr>
              <w:pStyle w:val="Compact"/>
            </w:pPr>
            <w:r>
              <w:t xml:space="preserve">Grace of the Lord Jesus be with you</w:t>
            </w:r>
          </w:p>
        </w:tc>
        <w:tc>
          <w:tcPr/>
          <w:p>
            <w:pPr>
              <w:pStyle w:val="Compact"/>
            </w:pPr>
            <w:r>
              <w:t xml:space="preserve">The benediction of grace to those who are His</w:t>
            </w:r>
          </w:p>
        </w:tc>
      </w:tr>
      <w:tr>
        <w:tc>
          <w:tcPr/>
          <w:p>
            <w:pPr>
              <w:pStyle w:val="Compact"/>
            </w:pPr>
            <w:r>
              <w:t xml:space="preserve">24</w:t>
            </w:r>
          </w:p>
        </w:tc>
        <w:tc>
          <w:tcPr/>
          <w:p>
            <w:pPr>
              <w:pStyle w:val="Compact"/>
            </w:pPr>
            <w:r>
              <w:t xml:space="preserve">My love be with you all in Christ Jesus</w:t>
            </w:r>
          </w:p>
        </w:tc>
        <w:tc>
          <w:tcPr/>
          <w:p>
            <w:pPr>
              <w:pStyle w:val="Compact"/>
            </w:pPr>
            <w:r>
              <w:t xml:space="preserve">Paul’s own love, closing the letter;</w:t>
            </w:r>
            <w:r>
              <w:t xml:space="preserve"> </w:t>
            </w:r>
            <w:r>
              <w:t xml:space="preserve">“in Christ Jesus”</w:t>
            </w:r>
            <w:r>
              <w:t xml:space="preserve"> </w:t>
            </w:r>
            <w:r>
              <w:t xml:space="preserve">— the sphere in which all fellowship and love exist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Collection: Ordered, Proportionate, Accountable Generosity</w:t>
            </w:r>
          </w:p>
        </w:tc>
      </w:tr>
      <w:tr>
        <w:tc>
          <w:tcPr/>
          <w:p>
            <w:pPr>
              <w:pStyle w:val="Compact"/>
            </w:pPr>
            <w:r>
              <w:t xml:space="preserve">2</w:t>
            </w:r>
          </w:p>
        </w:tc>
        <w:tc>
          <w:tcPr/>
          <w:p>
            <w:pPr>
              <w:pStyle w:val="Compact"/>
            </w:pPr>
            <w:r>
              <w:t xml:space="preserve">5–12</w:t>
            </w:r>
          </w:p>
        </w:tc>
        <w:tc>
          <w:tcPr/>
          <w:p>
            <w:pPr>
              <w:pStyle w:val="Compact"/>
            </w:pPr>
            <w:r>
              <w:t xml:space="preserve">The Network: Travel Plans, Commendations, and Gospel Relationships</w:t>
            </w:r>
          </w:p>
        </w:tc>
      </w:tr>
      <w:tr>
        <w:tc>
          <w:tcPr/>
          <w:p>
            <w:pPr>
              <w:pStyle w:val="Compact"/>
            </w:pPr>
            <w:r>
              <w:t xml:space="preserve">3</w:t>
            </w:r>
          </w:p>
        </w:tc>
        <w:tc>
          <w:tcPr/>
          <w:p>
            <w:pPr>
              <w:pStyle w:val="Compact"/>
            </w:pPr>
            <w:r>
              <w:t xml:space="preserve">13–14</w:t>
            </w:r>
          </w:p>
        </w:tc>
        <w:tc>
          <w:tcPr/>
          <w:p>
            <w:pPr>
              <w:pStyle w:val="Compact"/>
            </w:pPr>
            <w:r>
              <w:t xml:space="preserve">The Imperatives: Watchful, Firm, Courageous, Loving</w:t>
            </w:r>
          </w:p>
        </w:tc>
      </w:tr>
      <w:tr>
        <w:tc>
          <w:tcPr/>
          <w:p>
            <w:pPr>
              <w:pStyle w:val="Compact"/>
            </w:pPr>
            <w:r>
              <w:t xml:space="preserve">4</w:t>
            </w:r>
          </w:p>
        </w:tc>
        <w:tc>
          <w:tcPr/>
          <w:p>
            <w:pPr>
              <w:pStyle w:val="Compact"/>
            </w:pPr>
            <w:r>
              <w:t xml:space="preserve">15–18</w:t>
            </w:r>
          </w:p>
        </w:tc>
        <w:tc>
          <w:tcPr/>
          <w:p>
            <w:pPr>
              <w:pStyle w:val="Compact"/>
            </w:pPr>
            <w:r>
              <w:t xml:space="preserve">The Household: Recognizing and Submitting to Faithful Gospel Service</w:t>
            </w:r>
          </w:p>
        </w:tc>
      </w:tr>
      <w:tr>
        <w:tc>
          <w:tcPr/>
          <w:p>
            <w:pPr>
              <w:pStyle w:val="Compact"/>
            </w:pPr>
            <w:r>
              <w:t xml:space="preserve">5</w:t>
            </w:r>
          </w:p>
        </w:tc>
        <w:tc>
          <w:tcPr/>
          <w:p>
            <w:pPr>
              <w:pStyle w:val="Compact"/>
            </w:pPr>
            <w:r>
              <w:t xml:space="preserve">19–24</w:t>
            </w:r>
          </w:p>
        </w:tc>
        <w:tc>
          <w:tcPr/>
          <w:p>
            <w:pPr>
              <w:pStyle w:val="Compact"/>
            </w:pPr>
            <w:r>
              <w:t xml:space="preserve">The Closing: Greetings, Warning, Maranatha, and Grace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Gospel life is ordered, interconnected, loving, and oriented toward the returning Lord.</w:t>
      </w:r>
    </w:p>
    <w:p>
      <w:pPr>
        <w:pStyle w:val="BodyText"/>
      </w:pPr>
      <w:r>
        <w:rPr>
          <w:b/>
          <w:bCs/>
        </w:rPr>
        <w:t xml:space="preserve">Primary Claim:</w:t>
      </w:r>
      <w:r>
        <w:t xml:space="preserve"> </w:t>
      </w:r>
      <w:r>
        <w:t xml:space="preserve">The same Lord whose return Paul anticipates with longing —</w:t>
      </w:r>
      <w:r>
        <w:t xml:space="preserve"> </w:t>
      </w:r>
      <w:r>
        <w:rPr>
          <w:i/>
          <w:iCs/>
        </w:rPr>
        <w:t xml:space="preserve">Maranatha</w:t>
      </w:r>
      <w:r>
        <w:t xml:space="preserve"> </w:t>
      </w:r>
      <w:r>
        <w:t xml:space="preserve">— is calling His people right now to ordered giving, faithful relationships, courageous love, and undivided allegiance; to live any other way is to not love Him at all.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Recognize that</w:t>
      </w:r>
      <w:r>
        <w:rPr>
          <w:b/>
          <w:bCs/>
        </w:rPr>
        <w:t xml:space="preserve"> </w:t>
      </w:r>
      <w:r>
        <w:rPr>
          <w:b/>
          <w:bCs/>
        </w:rPr>
        <w:t xml:space="preserve">“closing logistics”</w:t>
      </w:r>
      <w:r>
        <w:rPr>
          <w:b/>
          <w:bCs/>
        </w:rPr>
        <w:t xml:space="preserve"> </w:t>
      </w:r>
      <w:r>
        <w:rPr>
          <w:b/>
          <w:bCs/>
        </w:rPr>
        <w:t xml:space="preserve">are theology, not postscript.</w:t>
      </w:r>
      <w:r>
        <w:t xml:space="preserve"> </w:t>
      </w:r>
      <w:r>
        <w:t xml:space="preserve">Paul does not shift gears in chapter 16 from</w:t>
      </w:r>
      <w:r>
        <w:t xml:space="preserve"> </w:t>
      </w:r>
      <w:r>
        <w:t xml:space="preserve">“real content”</w:t>
      </w:r>
      <w:r>
        <w:t xml:space="preserve"> </w:t>
      </w:r>
      <w:r>
        <w:t xml:space="preserve">to</w:t>
      </w:r>
      <w:r>
        <w:t xml:space="preserve"> </w:t>
      </w:r>
      <w:r>
        <w:t xml:space="preserve">“housekeeping.”</w:t>
      </w:r>
      <w:r>
        <w:t xml:space="preserve"> </w:t>
      </w:r>
      <w:r>
        <w:t xml:space="preserve">His instructions about the collection, his travel plans, his commendations of Timothy and Stephanas — these are the gospel taking flesh in the mundane texture of community life. The Corinthians were tempted to elevate the spectacular (spiritual gifts, rhetorical brilliance, visionary experiences) and neglect the ordered, structural, relational fabric of the body. Many believers today do the same — treating the</w:t>
      </w:r>
      <w:r>
        <w:t xml:space="preserve"> </w:t>
      </w:r>
      <w:r>
        <w:t xml:space="preserve">“practical”</w:t>
      </w:r>
      <w:r>
        <w:t xml:space="preserve"> </w:t>
      </w:r>
      <w:r>
        <w:t xml:space="preserve">parts of church life as less spiritual than the doctrinal or experiential parts. The corrective is to see that how you give, who you submit to, how you receive a younger brother in ministry, and how you maintain relationships across distance are all expressions of whether you genuinely love the Lord. There is no non-theological dimension to Christian life.</w:t>
      </w:r>
    </w:p>
    <w:p>
      <w:pPr>
        <w:pStyle w:val="BodyText"/>
      </w:pPr>
      <w:r>
        <w:rPr>
          <w:b/>
          <w:bCs/>
        </w:rPr>
        <w:t xml:space="preserve">2. (Will/Behavior) — Establish a systematic, proportionate, first-day pattern of giving before the need arises.</w:t>
      </w:r>
      <w:r>
        <w:t xml:space="preserve"> </w:t>
      </w:r>
      <w:r>
        <w:t xml:space="preserve">Paul’s instruction is striking in its specificity: the first day of the week, each person, as they have prospered,</w:t>
      </w:r>
      <w:r>
        <w:t xml:space="preserve"> </w:t>
      </w:r>
      <w:r>
        <w:rPr>
          <w:i/>
          <w:iCs/>
        </w:rPr>
        <w:t xml:space="preserve">before Paul arrives</w:t>
      </w:r>
      <w:r>
        <w:t xml:space="preserve"> </w:t>
      </w:r>
      <w:r>
        <w:t xml:space="preserve">— that is, before the emotional moment of a collection creates pressure. This is not spontaneous generosity but disciplined, pre-planned giving that reflects prior theological conviction about what your money is for. The application is concrete: set aside a proportionate amount on the Lord’s Day, before the week’s spending begins, before a special appeal arrives. This is not legalism but the practical form that gospel generosity takes in a life ordered around the Lord and His people. If your giving is purely reactive and sporadic, examine whether your theology of money has actually changed or whether you have simply adopted Christian vocabulary around an unchanged financial life.</w:t>
      </w:r>
    </w:p>
    <w:p>
      <w:pPr>
        <w:pStyle w:val="BodyText"/>
      </w:pPr>
      <w:r>
        <w:rPr>
          <w:b/>
          <w:bCs/>
        </w:rPr>
        <w:t xml:space="preserve">3. (Affections/Worship) — Examine whether your posture toward the Lord’s return is longing or dread.</w:t>
      </w:r>
      <w:r>
        <w:t xml:space="preserve"> </w:t>
      </w:r>
      <w:r>
        <w:t xml:space="preserve">The word</w:t>
      </w:r>
      <w:r>
        <w:t xml:space="preserve"> </w:t>
      </w:r>
      <w:r>
        <w:rPr>
          <w:i/>
          <w:iCs/>
        </w:rPr>
        <w:t xml:space="preserve">Maranatha</w:t>
      </w:r>
      <w:r>
        <w:t xml:space="preserve"> </w:t>
      </w:r>
      <w:r>
        <w:t xml:space="preserve">—</w:t>
      </w:r>
      <w:r>
        <w:t xml:space="preserve"> </w:t>
      </w:r>
      <w:r>
        <w:t xml:space="preserve">“Our Lord, come”</w:t>
      </w:r>
      <w:r>
        <w:t xml:space="preserve"> </w:t>
      </w:r>
      <w:r>
        <w:t xml:space="preserve">— is a prayer of longing, not a warning label. Paul expects that the Corinthians who love the Lord will hear this word and feel desire, not fear. The question it puts to every reader is diagnostic: when you think about Christ’s return, what rises in you? If it is primarily anxiety, a nervous audit of your standing, or a vague dread, that tells you something important about where you actually live spiritually. The antidote is not willpower or theological reassurance alone, but a genuine deepening of love for the Lord Himself — the kind of love that makes you want to see His face. Ask yourself: what would need to change in my affections for</w:t>
      </w:r>
      <w:r>
        <w:t xml:space="preserve"> </w:t>
      </w:r>
      <w:r>
        <w:rPr>
          <w:i/>
          <w:iCs/>
        </w:rPr>
        <w:t xml:space="preserve">Maranatha</w:t>
      </w:r>
      <w:r>
        <w:t xml:space="preserve"> </w:t>
      </w:r>
      <w:r>
        <w:t xml:space="preserve">to feel like the prayer I most want to pray?</w:t>
      </w:r>
    </w:p>
    <w:p>
      <w:pPr>
        <w:pStyle w:val="BodyText"/>
      </w:pPr>
      <w:r>
        <w:rPr>
          <w:b/>
          <w:bCs/>
        </w:rPr>
        <w:t xml:space="preserve">4. (Mind/Belief) — Understand that an open door and fierce adversaries are not contradictions to be resolved — they are the normal shape of faithful ministry.</w:t>
      </w:r>
      <w:r>
        <w:t xml:space="preserve"> </w:t>
      </w:r>
      <w:r>
        <w:t xml:space="preserve">Paul says of Ephesus:</w:t>
      </w:r>
      <w:r>
        <w:t xml:space="preserve"> </w:t>
      </w:r>
      <w:r>
        <w:t xml:space="preserve">“a wide door for effective work has opened to me, and there are many adversaries”</w:t>
      </w:r>
      <w:r>
        <w:t xml:space="preserve"> </w:t>
      </w:r>
      <w:r>
        <w:t xml:space="preserve">(v. 9). He says both in the same breath, without any indication that the adversaries are a reason to reconsider whether the door is real. Many believers and ministries interpret opposition as evidence that they are in the wrong place, doing the wrong thing, or under God’s displeasure. Paul interprets it as the normal accompaniment to a real open door. The adversaries are not evidence against the door — they are often evidence for it. Calibrate your theology of ministry accordingly: stop treating difficulty as disqualifying and start treating it as directional information about where real gospel work is actually happening.</w:t>
      </w:r>
    </w:p>
    <w:p>
      <w:pPr>
        <w:pStyle w:val="BodyText"/>
      </w:pPr>
      <w:r>
        <w:rPr>
          <w:b/>
          <w:bCs/>
        </w:rPr>
        <w:t xml:space="preserve">5. (Will/Behavior) — Submit to those in your local church who have demonstrated faithful, self-giving service — even when you have not elected them.</w:t>
      </w:r>
      <w:r>
        <w:t xml:space="preserve"> </w:t>
      </w:r>
      <w:r>
        <w:t xml:space="preserve">Paul calls the Corinthians to</w:t>
      </w:r>
      <w:r>
        <w:t xml:space="preserve"> </w:t>
      </w:r>
      <w:r>
        <w:t xml:space="preserve">“be subject to”</w:t>
      </w:r>
      <w:r>
        <w:t xml:space="preserve"> </w:t>
      </w:r>
      <w:r>
        <w:t xml:space="preserve">the household of Stephanas — not because they hold a formal office, but because they have devoted themselves to service. The principle is that faithful, costly, long-term gospel service earns a kind of authority that the congregation should recognize and submit to, regardless of status or eloquence. In a church culture where authority is frequently resisted and leaders constantly second-guessed, this is a specific and uncomfortable call. Identify the people in your church who have quietly, consistently given themselves to the Lord’s work with no fanfare. Submit to their judgment and leadership. Support their initiatives. Follow their example. This is not passivity — it is the ordered, love-structured life of a community that is actually functioning as a body.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reveals that the God who has spoken at length about doctrine, ethics, gifts, and resurrection is equally concerned with the ordered, structural, and relational fabric of the community He is forming. God’s concern for how the Corinthians give, how they receive workers, and how they relate to one another across distance is not secondary to His concern for what they believe — it is an extension of it. The</w:t>
      </w:r>
      <w:r>
        <w:t xml:space="preserve"> </w:t>
      </w:r>
      <w:r>
        <w:rPr>
          <w:i/>
          <w:iCs/>
        </w:rPr>
        <w:t xml:space="preserve">anathema</w:t>
      </w:r>
      <w:r>
        <w:t xml:space="preserve"> </w:t>
      </w:r>
      <w:r>
        <w:t xml:space="preserve">and</w:t>
      </w:r>
      <w:r>
        <w:t xml:space="preserve"> </w:t>
      </w:r>
      <w:r>
        <w:rPr>
          <w:i/>
          <w:iCs/>
        </w:rPr>
        <w:t xml:space="preserve">Maranatha</w:t>
      </w:r>
      <w:r>
        <w:t xml:space="preserve"> </w:t>
      </w:r>
      <w:r>
        <w:t xml:space="preserve">of verse 22 disclose that God holds the question of ultimate allegiance — do you love the Lord or not? — as the framing question behind every other demand the letter has made. And the closing benedictions of grace and love (vv. 23–24) reveal that the same God who issues the</w:t>
      </w:r>
      <w:r>
        <w:t xml:space="preserve"> </w:t>
      </w:r>
      <w:r>
        <w:rPr>
          <w:i/>
          <w:iCs/>
        </w:rPr>
        <w:t xml:space="preserve">anathema</w:t>
      </w:r>
      <w:r>
        <w:t xml:space="preserve"> </w:t>
      </w:r>
      <w:r>
        <w:t xml:space="preserve">is the God who pours out grace — the two are not in tension but are the twin faces of a God who is coming to judge and to save.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functions as a compressed display of what the Reformed tradition calls</w:t>
      </w:r>
      <w:r>
        <w:t xml:space="preserve"> </w:t>
      </w:r>
      <w:r>
        <w:t xml:space="preserve">“the ordered life of grace”</w:t>
      </w:r>
      <w:r>
        <w:t xml:space="preserve"> </w:t>
      </w:r>
      <w:r>
        <w:t xml:space="preserve">— the conviction that the gospel, when truly received, produces not just correct doctrine but ordered community life: structured generosity, mutual accountability, submitted relationships, and eschatological orientation. The collection for Jerusalem is not meritorious giving but the fruit of grace — the Gentiles giving back what they owe to the community through which the gospel came (Romans 15:27), an enacted parable of the unity of Jew and Gentile in the one body. The</w:t>
      </w:r>
      <w:r>
        <w:t xml:space="preserve"> </w:t>
      </w:r>
      <w:r>
        <w:rPr>
          <w:i/>
          <w:iCs/>
        </w:rPr>
        <w:t xml:space="preserve">Maranatha</w:t>
      </w:r>
      <w:r>
        <w:t xml:space="preserve"> </w:t>
      </w:r>
      <w:r>
        <w:t xml:space="preserve">places the entire letter and the entire Christian life under the sign of the coming Lord — a distinctively Reformed emphasis that frames sanctification not as self-improvement but as preparation for the appearing of the One we love. The closing grace note (v. 23) reminds the reader that every demand in this letter — every call to order, purity, courage, and love — rests not on the Corinthians’ resources but on the grace of the Lord Jesus Christ that accompanies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coming. Paul’s word to you in this closing chapter is not</w:t>
      </w:r>
      <w:r>
        <w:t xml:space="preserve"> </w:t>
      </w:r>
      <w:r>
        <w:t xml:space="preserve">“here are some administrative notes”</w:t>
      </w:r>
      <w:r>
        <w:t xml:space="preserve"> </w:t>
      </w:r>
      <w:r>
        <w:t xml:space="preserve">— it is: order your giving, tend your relationships, stand firm, act with courage, do everything in love, and ask yourself honestly whether you love the Lord. If you do,</w:t>
      </w:r>
      <w:r>
        <w:t xml:space="preserve"> </w:t>
      </w:r>
      <w:r>
        <w:rPr>
          <w:i/>
          <w:iCs/>
        </w:rPr>
        <w:t xml:space="preserve">Maranatha</w:t>
      </w:r>
      <w:r>
        <w:t xml:space="preserve"> </w:t>
      </w:r>
      <w:r>
        <w:t xml:space="preserve">— come, Lord Jesus — will feel like the truest prayer you know. If it doesn’t, something is wrong at the root, and grace is still available to fix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chapter 16 as a mere postscript.</w:t>
      </w:r>
      <w:r>
        <w:t xml:space="preserve"> </w:t>
      </w:r>
      <w:r>
        <w:t xml:space="preserve">The most common homiletical failure with this chapter is skipping it entirely or treating it as non-preachable</w:t>
      </w:r>
      <w:r>
        <w:t xml:space="preserve"> </w:t>
      </w:r>
      <w:r>
        <w:t xml:space="preserve">“transition material”</w:t>
      </w:r>
      <w:r>
        <w:t xml:space="preserve"> </w:t>
      </w:r>
      <w:r>
        <w:t xml:space="preserve">after the</w:t>
      </w:r>
      <w:r>
        <w:t xml:space="preserve"> </w:t>
      </w:r>
      <w:r>
        <w:t xml:space="preserve">“real content”</w:t>
      </w:r>
      <w:r>
        <w:t xml:space="preserve"> </w:t>
      </w:r>
      <w:r>
        <w:t xml:space="preserve">of chapters 12–15. This misunderstands Paul’s rhetorical structure: closing chapters in his letters frequently carry the letter’s whole argument to its landing point. The collection, the commendations, the imperatives of verses 13–14, and the</w:t>
      </w:r>
      <w:r>
        <w:t xml:space="preserve"> </w:t>
      </w:r>
      <w:r>
        <w:rPr>
          <w:i/>
          <w:iCs/>
        </w:rPr>
        <w:t xml:space="preserve">anathema/Maranatha</w:t>
      </w:r>
      <w:r>
        <w:t xml:space="preserve"> </w:t>
      </w:r>
      <w:r>
        <w:t xml:space="preserve">of verse 22 together constitute a compressed theological statement. Treat them as such.</w:t>
      </w:r>
    </w:p>
    <w:p>
      <w:pPr>
        <w:numPr>
          <w:ilvl w:val="0"/>
          <w:numId w:val="1002"/>
        </w:numPr>
      </w:pPr>
      <w:r>
        <w:rPr>
          <w:b/>
          <w:bCs/>
        </w:rPr>
        <w:t xml:space="preserve">Preaching the collection primarily as a fundraising text.</w:t>
      </w:r>
      <w:r>
        <w:t xml:space="preserve"> </w:t>
      </w:r>
      <w:r>
        <w:t xml:space="preserve">Verses 1–4 are frequently used as a proof-text for proportionate or systematic giving in a stewardship campaign, and while that application is legitimate, it under-reads the passage. The collection is not primarily about giving technique — it is about the theological unity of the body across geographic, ethnic, and economic lines. Preaching it without the Jerusalem/Gentile-solidarity dimension (cf. Romans 15) strips it of its gospel weight and reduces it to budgeting advice.</w:t>
      </w:r>
    </w:p>
    <w:p>
      <w:pPr>
        <w:numPr>
          <w:ilvl w:val="0"/>
          <w:numId w:val="1002"/>
        </w:numPr>
      </w:pPr>
      <w:r>
        <w:rPr>
          <w:b/>
          <w:bCs/>
        </w:rPr>
        <w:t xml:space="preserve">Isolating</w:t>
      </w:r>
      <w:r>
        <w:rPr>
          <w:b/>
          <w:bCs/>
        </w:rPr>
        <w:t xml:space="preserve"> </w:t>
      </w:r>
      <w:r>
        <w:rPr>
          <w:b/>
          <w:bCs/>
        </w:rPr>
        <w:t xml:space="preserve">“let all that you do be done in love”</w:t>
      </w:r>
      <w:r>
        <w:rPr>
          <w:b/>
          <w:bCs/>
        </w:rPr>
        <w:t xml:space="preserve"> </w:t>
      </w:r>
      <w:r>
        <w:rPr>
          <w:b/>
          <w:bCs/>
        </w:rPr>
        <w:t xml:space="preserve">(v. 14) from the four imperatives that precede it.</w:t>
      </w:r>
      <w:r>
        <w:t xml:space="preserve"> </w:t>
      </w:r>
      <w:r>
        <w:t xml:space="preserve">Verse 14 is not a free-floating exhortation to niceness — it is the capstone of a militaristically framed set of imperatives: watch, stand, be courageous, be strong…</w:t>
      </w:r>
      <w:r>
        <w:t xml:space="preserve"> </w:t>
      </w:r>
      <w:r>
        <w:rPr>
          <w:i/>
          <w:iCs/>
        </w:rPr>
        <w:t xml:space="preserve">and do all of it in love.</w:t>
      </w:r>
      <w:r>
        <w:t xml:space="preserve"> </w:t>
      </w:r>
      <w:r>
        <w:t xml:space="preserve">Preaching verse 14 without verse 13 produces a sentimental</w:t>
      </w:r>
      <w:r>
        <w:t xml:space="preserve"> </w:t>
      </w:r>
      <w:r>
        <w:t xml:space="preserve">“love wins”</w:t>
      </w:r>
      <w:r>
        <w:t xml:space="preserve"> </w:t>
      </w:r>
      <w:r>
        <w:t xml:space="preserve">application that has no backbone. Preaching verse 13 without verse 14 produces a hard-edged combativeness with no warmth. The two verses are a single unit and must be held together.</w:t>
      </w:r>
    </w:p>
    <w:p>
      <w:pPr>
        <w:numPr>
          <w:ilvl w:val="0"/>
          <w:numId w:val="1002"/>
        </w:numPr>
      </w:pPr>
      <w:r>
        <w:rPr>
          <w:b/>
          <w:bCs/>
        </w:rPr>
        <w:t xml:space="preserve">Domesticating the anathema of verse 22.</w:t>
      </w:r>
      <w:r>
        <w:t xml:space="preserve"> </w:t>
      </w:r>
      <w:r>
        <w:t xml:space="preserve">“If anyone does not love the Lord, let him be accursed”</w:t>
      </w:r>
      <w:r>
        <w:t xml:space="preserve"> </w:t>
      </w:r>
      <w:r>
        <w:t xml:space="preserve">is frequently softened into</w:t>
      </w:r>
      <w:r>
        <w:t xml:space="preserve"> </w:t>
      </w:r>
      <w:r>
        <w:t xml:space="preserve">“it’s very important to love Jesus.”</w:t>
      </w:r>
      <w:r>
        <w:t xml:space="preserve"> </w:t>
      </w:r>
      <w:r>
        <w:t xml:space="preserve">Paul is invoking covenantal curse language — the language of Deuteronomy, of divine judgment, of ultimate separation. In a chapter otherwise full of warmth, greetings, and pastoral tenderness, this line stands out with deliberate severity. It is the final demand the letter makes: where is your allegiance? Do not preach past it or around it. Let it land.</w:t>
      </w:r>
    </w:p>
    <w:p>
      <w:pPr>
        <w:numPr>
          <w:ilvl w:val="0"/>
          <w:numId w:val="1002"/>
        </w:numPr>
      </w:pPr>
      <w:r>
        <w:rPr>
          <w:b/>
          <w:bCs/>
        </w:rPr>
        <w:t xml:space="preserve">Reading</w:t>
      </w:r>
      <w:r>
        <w:rPr>
          <w:b/>
          <w:bCs/>
        </w:rPr>
        <w:t xml:space="preserve"> </w:t>
      </w:r>
      <w:r>
        <w:rPr>
          <w:b/>
          <w:bCs/>
          <w:i/>
          <w:iCs/>
        </w:rPr>
        <w:t xml:space="preserve">Maranatha</w:t>
      </w:r>
      <w:r>
        <w:rPr>
          <w:b/>
          <w:bCs/>
        </w:rPr>
        <w:t xml:space="preserve"> </w:t>
      </w:r>
      <w:r>
        <w:rPr>
          <w:b/>
          <w:bCs/>
        </w:rPr>
        <w:t xml:space="preserve">as only a liturgical formula without eschatological weight.</w:t>
      </w:r>
      <w:r>
        <w:t xml:space="preserve"> </w:t>
      </w:r>
      <w:r>
        <w:t xml:space="preserve">The Aramaic</w:t>
      </w:r>
      <w:r>
        <w:t xml:space="preserve"> </w:t>
      </w:r>
      <w:r>
        <w:rPr>
          <w:i/>
          <w:iCs/>
        </w:rPr>
        <w:t xml:space="preserve">Maranatha</w:t>
      </w:r>
      <w:r>
        <w:t xml:space="preserve"> </w:t>
      </w:r>
      <w:r>
        <w:t xml:space="preserve">is almost certainly drawn from the early church’s eucharistic and eschatological worship. Its appearance here is not decorative — it connects the life of the church (the collection, the relationships, the courage, the love) to its ultimate horizon: the returning Lord. Preach it as the frame that makes everything else in the chapter intelligible. The Corinthians were living as if this age were permanent, as if the factions and the lawsuits and the disordered worship were sustainable.</w:t>
      </w:r>
      <w:r>
        <w:t xml:space="preserve"> </w:t>
      </w:r>
      <w:r>
        <w:rPr>
          <w:i/>
          <w:iCs/>
        </w:rPr>
        <w:t xml:space="preserve">Maranatha</w:t>
      </w:r>
      <w:r>
        <w:t xml:space="preserve"> </w:t>
      </w:r>
      <w:r>
        <w:t xml:space="preserve">says: it is not. He is coming.</w:t>
      </w:r>
    </w:p>
    <w:p>
      <w:pPr>
        <w:numPr>
          <w:ilvl w:val="0"/>
          <w:numId w:val="1002"/>
        </w:numPr>
      </w:pPr>
      <w:r>
        <w:rPr>
          <w:b/>
          <w:bCs/>
        </w:rPr>
        <w:t xml:space="preserve">Failing to connect the closing grace and love notes (vv. 23–24) to the letter’s demands.</w:t>
      </w:r>
      <w:r>
        <w:t xml:space="preserve"> </w:t>
      </w:r>
      <w:r>
        <w:t xml:space="preserve">The benediction and personal expression of love in verses 23–24 are not emotional punctuation after a hard letter — they are the gospel’s own final word. After the</w:t>
      </w:r>
      <w:r>
        <w:t xml:space="preserve"> </w:t>
      </w:r>
      <w:r>
        <w:rPr>
          <w:i/>
          <w:iCs/>
        </w:rPr>
        <w:t xml:space="preserve">anathema</w:t>
      </w:r>
      <w:r>
        <w:t xml:space="preserve">, Paul does not simply walk away. He writes in his own hand, he invokes grace, and he declares his love for the very people he has spent sixteen chapters correcting. This is the pattern of the gospel itself: the God who demands also provides, the God who judges also loves, the God who says</w:t>
      </w:r>
      <w:r>
        <w:t xml:space="preserve"> </w:t>
      </w:r>
      <w:r>
        <w:t xml:space="preserve">“accursed”</w:t>
      </w:r>
      <w:r>
        <w:t xml:space="preserve"> </w:t>
      </w:r>
      <w:r>
        <w:t xml:space="preserve">also says</w:t>
      </w:r>
      <w:r>
        <w:t xml:space="preserve"> </w:t>
      </w:r>
      <w:r>
        <w:t xml:space="preserve">“my love be with you all.”</w:t>
      </w:r>
      <w:r>
        <w:t xml:space="preserve"> </w:t>
      </w:r>
      <w:r>
        <w:t xml:space="preserve">The sermon should land here, not on the</w:t>
      </w:r>
      <w:r>
        <w:t xml:space="preserve"> </w:t>
      </w:r>
      <w:r>
        <w:rPr>
          <w:i/>
          <w:iCs/>
        </w:rPr>
        <w:t xml:space="preserve">anathema</w:t>
      </w:r>
      <w:r>
        <w:t xml:space="preserve"> </w:t>
      </w:r>
      <w:r>
        <w:t xml:space="preserve">alone.</w:t>
      </w:r>
    </w:p>
    <w:p>
      <w:r>
        <w:pict>
          <v:rect style="width:0;height:1.5pt" o:hralign="center" o:hrstd="t" o:hr="t"/>
        </w:pict>
      </w:r>
    </w:p>
    <w:p>
      <w:pPr>
        <w:pStyle w:val="FirstParagraph"/>
      </w:pPr>
      <w:r>
        <w:rPr>
          <w:i/>
          <w:iCs/>
        </w:rPr>
        <w:t xml:space="preserve">Document generated per CLAUDE2.md framework. File: 46 1 Corinthians 16.docx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2026-07-14T21:08:00Z</dcterms:created>
  <dcterms:modified xsi:type="dcterms:W3CDTF">2026-07-14T21:08:00Z</dcterms:modified>
</cp:coreProperties>
</file>

<file path=docProps/custom.xml><?xml version="1.0" encoding="utf-8"?>
<Properties xmlns="http://schemas.openxmlformats.org/officeDocument/2006/custom-properties" xmlns:vt="http://schemas.openxmlformats.org/officeDocument/2006/docPropsVTypes"/>
</file>